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1"/>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977"/>
        <w:gridCol w:w="2268"/>
        <w:gridCol w:w="2693"/>
        <w:gridCol w:w="2126"/>
        <w:gridCol w:w="2977"/>
        <w:gridCol w:w="1770"/>
      </w:tblGrid>
      <w:tr w:rsidR="00DA09E2" w:rsidRPr="00911C46" w:rsidTr="00A84DDC">
        <w:trPr>
          <w:gridAfter w:val="1"/>
          <w:wAfter w:w="1770" w:type="dxa"/>
          <w:trHeight w:val="1233"/>
        </w:trPr>
        <w:tc>
          <w:tcPr>
            <w:tcW w:w="1168" w:type="dxa"/>
          </w:tcPr>
          <w:p w:rsidR="00DA09E2" w:rsidRPr="00A84DDC" w:rsidRDefault="00DA09E2" w:rsidP="00A84DDC">
            <w:pPr>
              <w:jc w:val="center"/>
              <w:rPr>
                <w:rFonts w:ascii="Gill Sans MT" w:hAnsi="Gill Sans MT"/>
                <w:b/>
                <w:sz w:val="28"/>
                <w:szCs w:val="28"/>
              </w:rPr>
            </w:pPr>
            <w:bookmarkStart w:id="0" w:name="_GoBack"/>
            <w:bookmarkEnd w:id="0"/>
            <w:r w:rsidRPr="00A84DDC">
              <w:rPr>
                <w:rFonts w:ascii="Gill Sans MT" w:hAnsi="Gill Sans MT"/>
                <w:b/>
                <w:sz w:val="28"/>
                <w:szCs w:val="28"/>
              </w:rPr>
              <w:t>Year Group</w:t>
            </w:r>
          </w:p>
        </w:tc>
        <w:tc>
          <w:tcPr>
            <w:tcW w:w="2977"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Animals including humans</w:t>
            </w:r>
          </w:p>
        </w:tc>
        <w:tc>
          <w:tcPr>
            <w:tcW w:w="2268"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To investigate living things and their habitats</w:t>
            </w:r>
          </w:p>
        </w:tc>
        <w:tc>
          <w:tcPr>
            <w:tcW w:w="2693" w:type="dxa"/>
          </w:tcPr>
          <w:p w:rsidR="00DA09E2" w:rsidRPr="00DA09E2" w:rsidRDefault="00DA09E2" w:rsidP="00DA09E2">
            <w:pPr>
              <w:spacing w:after="0"/>
              <w:jc w:val="center"/>
              <w:rPr>
                <w:rFonts w:ascii="Gill Sans MT" w:hAnsi="Gill Sans MT"/>
                <w:b/>
                <w:sz w:val="20"/>
              </w:rPr>
            </w:pPr>
            <w:r w:rsidRPr="00DA09E2">
              <w:rPr>
                <w:rFonts w:ascii="Gill Sans MT" w:hAnsi="Gill Sans MT"/>
                <w:b/>
                <w:sz w:val="20"/>
              </w:rPr>
              <w:t>To understand light</w:t>
            </w:r>
          </w:p>
          <w:p w:rsidR="00DA09E2" w:rsidRPr="00DA09E2" w:rsidRDefault="00DA09E2" w:rsidP="00A84DDC">
            <w:pPr>
              <w:spacing w:after="0"/>
              <w:jc w:val="center"/>
              <w:rPr>
                <w:rFonts w:ascii="Gill Sans MT" w:hAnsi="Gill Sans MT"/>
                <w:b/>
                <w:sz w:val="20"/>
              </w:rPr>
            </w:pPr>
          </w:p>
        </w:tc>
        <w:tc>
          <w:tcPr>
            <w:tcW w:w="2126" w:type="dxa"/>
          </w:tcPr>
          <w:p w:rsidR="00DA09E2" w:rsidRPr="00DA09E2" w:rsidRDefault="00DA09E2" w:rsidP="00A84DDC">
            <w:pPr>
              <w:spacing w:after="0"/>
              <w:jc w:val="center"/>
              <w:rPr>
                <w:rFonts w:ascii="Gill Sans MT" w:hAnsi="Gill Sans MT"/>
                <w:b/>
                <w:sz w:val="20"/>
              </w:rPr>
            </w:pPr>
            <w:r w:rsidRPr="00DA09E2">
              <w:rPr>
                <w:rFonts w:ascii="Gill Sans MT" w:hAnsi="Gill Sans MT"/>
                <w:b/>
                <w:sz w:val="20"/>
              </w:rPr>
              <w:t xml:space="preserve">To understand evolution and inheritance </w:t>
            </w:r>
          </w:p>
          <w:p w:rsidR="00DA09E2" w:rsidRPr="00DA09E2" w:rsidRDefault="00DA09E2" w:rsidP="00DA09E2">
            <w:pPr>
              <w:spacing w:after="0"/>
              <w:rPr>
                <w:rFonts w:ascii="Gill Sans MT" w:hAnsi="Gill Sans MT"/>
                <w:b/>
                <w:sz w:val="20"/>
              </w:rPr>
            </w:pPr>
          </w:p>
        </w:tc>
        <w:tc>
          <w:tcPr>
            <w:tcW w:w="2977" w:type="dxa"/>
          </w:tcPr>
          <w:p w:rsidR="00DA09E2" w:rsidRPr="00DA09E2" w:rsidRDefault="00DA09E2" w:rsidP="00A84DDC">
            <w:pPr>
              <w:spacing w:after="0"/>
              <w:jc w:val="center"/>
              <w:rPr>
                <w:rFonts w:ascii="Gill Sans MT" w:hAnsi="Gill Sans MT"/>
                <w:b/>
                <w:sz w:val="20"/>
              </w:rPr>
            </w:pPr>
          </w:p>
          <w:p w:rsidR="00DA09E2" w:rsidRPr="00DA09E2" w:rsidRDefault="00DA09E2" w:rsidP="00DA09E2">
            <w:pPr>
              <w:spacing w:after="0"/>
              <w:jc w:val="center"/>
              <w:rPr>
                <w:rFonts w:ascii="Gill Sans MT" w:hAnsi="Gill Sans MT"/>
                <w:b/>
                <w:sz w:val="20"/>
              </w:rPr>
            </w:pPr>
            <w:r w:rsidRPr="00DA09E2">
              <w:rPr>
                <w:rFonts w:ascii="Gill Sans MT" w:hAnsi="Gill Sans MT"/>
                <w:b/>
                <w:sz w:val="20"/>
              </w:rPr>
              <w:t>To understand electricity</w:t>
            </w:r>
          </w:p>
        </w:tc>
      </w:tr>
      <w:tr w:rsidR="00DA09E2" w:rsidRPr="00911C46" w:rsidTr="00DA09E2">
        <w:trPr>
          <w:gridAfter w:val="1"/>
          <w:wAfter w:w="1770" w:type="dxa"/>
          <w:trHeight w:val="6215"/>
        </w:trPr>
        <w:tc>
          <w:tcPr>
            <w:tcW w:w="1168" w:type="dxa"/>
            <w:vAlign w:val="center"/>
          </w:tcPr>
          <w:p w:rsidR="00DA09E2" w:rsidRPr="00B9650E" w:rsidRDefault="00DA09E2" w:rsidP="00A84DDC">
            <w:pPr>
              <w:jc w:val="center"/>
              <w:rPr>
                <w:rFonts w:ascii="Gill Sans MT" w:hAnsi="Gill Sans MT"/>
                <w:sz w:val="40"/>
                <w:szCs w:val="40"/>
              </w:rPr>
            </w:pPr>
            <w:r w:rsidRPr="00B9650E">
              <w:rPr>
                <w:rFonts w:ascii="Gill Sans MT" w:hAnsi="Gill Sans MT"/>
                <w:sz w:val="40"/>
                <w:szCs w:val="40"/>
              </w:rPr>
              <w:t>6</w:t>
            </w:r>
          </w:p>
        </w:tc>
        <w:tc>
          <w:tcPr>
            <w:tcW w:w="2977" w:type="dxa"/>
          </w:tcPr>
          <w:p w:rsidR="00DA09E2" w:rsidRPr="00DA09E2" w:rsidRDefault="00DA09E2" w:rsidP="00A84DDC">
            <w:pPr>
              <w:rPr>
                <w:rFonts w:ascii="Gill Sans MT" w:hAnsi="Gill Sans MT"/>
                <w:sz w:val="20"/>
              </w:rPr>
            </w:pPr>
            <w:r w:rsidRPr="00DA09E2">
              <w:rPr>
                <w:rFonts w:ascii="Gill Sans MT" w:hAnsi="Gill Sans MT"/>
                <w:sz w:val="20"/>
              </w:rPr>
              <w:t xml:space="preserve">I can identify and name the main parts of the human circulatory system, and describe the functions of the heart, blood vessels and blood. </w:t>
            </w:r>
          </w:p>
          <w:p w:rsidR="00DA09E2" w:rsidRPr="00DA09E2" w:rsidRDefault="00DA09E2" w:rsidP="00A84DDC">
            <w:pPr>
              <w:rPr>
                <w:rFonts w:ascii="Gill Sans MT" w:hAnsi="Gill Sans MT"/>
                <w:sz w:val="20"/>
              </w:rPr>
            </w:pPr>
            <w:r w:rsidRPr="00DA09E2">
              <w:rPr>
                <w:rFonts w:ascii="Gill Sans MT" w:hAnsi="Gill Sans MT"/>
                <w:sz w:val="20"/>
              </w:rPr>
              <w:t xml:space="preserve">I can recognise the impact of diet, exercise, drugs and lifestyle on the way their bodies function. </w:t>
            </w:r>
          </w:p>
          <w:p w:rsidR="00DA09E2" w:rsidRPr="00DA09E2" w:rsidRDefault="00DA09E2" w:rsidP="00A84DDC">
            <w:pPr>
              <w:rPr>
                <w:rFonts w:ascii="Gill Sans MT" w:hAnsi="Gill Sans MT"/>
                <w:sz w:val="20"/>
              </w:rPr>
            </w:pPr>
            <w:r w:rsidRPr="00DA09E2">
              <w:rPr>
                <w:rFonts w:ascii="Gill Sans MT" w:hAnsi="Gill Sans MT"/>
                <w:sz w:val="20"/>
              </w:rPr>
              <w:t>I can describe the ways in which nutrients and water are transported within animals, including humans.</w:t>
            </w:r>
          </w:p>
        </w:tc>
        <w:tc>
          <w:tcPr>
            <w:tcW w:w="2268" w:type="dxa"/>
          </w:tcPr>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describe how living things are classified into broad groups according to common observable characteristics and based on similarities and differences, including microorganisms, plants and animals.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give reasons for classifying plants and animals based on specific characteristics.</w:t>
            </w:r>
          </w:p>
        </w:tc>
        <w:tc>
          <w:tcPr>
            <w:tcW w:w="2693" w:type="dxa"/>
          </w:tcPr>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recognise that light appears to travel in straight lines.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use the idea that light travels in straight lines to explain that objects are seen because they give out or reflect light into the eye.</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 xml:space="preserve"> I can explain that we see things because light travels from light sources to our eyes or from light sources to objects and then to our eyes.</w:t>
            </w:r>
          </w:p>
          <w:p w:rsidR="00DA09E2" w:rsidRPr="0086424F" w:rsidRDefault="00DA09E2" w:rsidP="00A84DDC">
            <w:pPr>
              <w:rPr>
                <w:rFonts w:ascii="Gill Sans MT" w:hAnsi="Gill Sans MT" w:cstheme="minorHAnsi"/>
                <w:sz w:val="20"/>
              </w:rPr>
            </w:pPr>
            <w:r w:rsidRPr="0086424F">
              <w:rPr>
                <w:rFonts w:ascii="Gill Sans MT" w:hAnsi="Gill Sans MT" w:cstheme="minorHAnsi"/>
                <w:sz w:val="20"/>
              </w:rPr>
              <w:t>I can use the idea that light travels in straight lines to explain why shadows have the same shape as the objects that cast them.</w:t>
            </w:r>
          </w:p>
        </w:tc>
        <w:tc>
          <w:tcPr>
            <w:tcW w:w="2126" w:type="dxa"/>
          </w:tcPr>
          <w:p w:rsidR="00DA09E2" w:rsidRPr="00DA09E2" w:rsidRDefault="00DA09E2" w:rsidP="00A84DDC">
            <w:pPr>
              <w:rPr>
                <w:rFonts w:ascii="Gill Sans MT" w:hAnsi="Gill Sans MT"/>
                <w:sz w:val="20"/>
              </w:rPr>
            </w:pPr>
            <w:r w:rsidRPr="00DA09E2">
              <w:rPr>
                <w:rFonts w:ascii="Gill Sans MT" w:hAnsi="Gill Sans MT"/>
                <w:sz w:val="20"/>
              </w:rPr>
              <w:t>I can recognise that living things have changed over time and that fossils provide information about living things that inhabited the Earth millions of years ago.</w:t>
            </w:r>
          </w:p>
          <w:p w:rsidR="00DA09E2" w:rsidRPr="00DA09E2" w:rsidRDefault="00DA09E2" w:rsidP="00A84DDC">
            <w:pPr>
              <w:rPr>
                <w:rFonts w:ascii="Gill Sans MT" w:hAnsi="Gill Sans MT"/>
                <w:sz w:val="20"/>
              </w:rPr>
            </w:pPr>
            <w:r w:rsidRPr="00DA09E2">
              <w:rPr>
                <w:rFonts w:ascii="Gill Sans MT" w:hAnsi="Gill Sans MT"/>
                <w:sz w:val="20"/>
              </w:rPr>
              <w:t>I recognise that living things produce offspring of the same kind, but normally offspring vary and are not identical to their parents.</w:t>
            </w:r>
          </w:p>
          <w:p w:rsidR="00DA09E2" w:rsidRPr="00DA09E2" w:rsidRDefault="00DA09E2" w:rsidP="00A84DDC">
            <w:pPr>
              <w:rPr>
                <w:rFonts w:ascii="Gill Sans MT" w:hAnsi="Gill Sans MT"/>
                <w:sz w:val="20"/>
              </w:rPr>
            </w:pPr>
            <w:r w:rsidRPr="00DA09E2">
              <w:rPr>
                <w:rFonts w:ascii="Gill Sans MT" w:hAnsi="Gill Sans MT"/>
                <w:sz w:val="20"/>
              </w:rPr>
              <w:t>I can identify how animals and plants are adapted to suit their environment in different ways and that adaptation may lead to evolution.</w:t>
            </w:r>
          </w:p>
        </w:tc>
        <w:tc>
          <w:tcPr>
            <w:tcW w:w="2977" w:type="dxa"/>
          </w:tcPr>
          <w:p w:rsidR="00DA09E2" w:rsidRPr="00DA09E2" w:rsidRDefault="00DA09E2" w:rsidP="00A84DDC">
            <w:pPr>
              <w:rPr>
                <w:rFonts w:ascii="Gill Sans MT" w:hAnsi="Gill Sans MT"/>
                <w:sz w:val="20"/>
              </w:rPr>
            </w:pPr>
            <w:r w:rsidRPr="00DA09E2">
              <w:rPr>
                <w:rFonts w:ascii="Gill Sans MT" w:hAnsi="Gill Sans MT"/>
                <w:sz w:val="20"/>
              </w:rPr>
              <w:t>I can associate the brightness of a lamp or the volume of a buzzer with the number and voltage of cells used in the circuit.</w:t>
            </w:r>
          </w:p>
          <w:p w:rsidR="00DA09E2" w:rsidRPr="00DA09E2" w:rsidRDefault="00DA09E2" w:rsidP="00A84DDC">
            <w:pPr>
              <w:rPr>
                <w:rFonts w:ascii="Gill Sans MT" w:hAnsi="Gill Sans MT"/>
                <w:sz w:val="20"/>
              </w:rPr>
            </w:pPr>
            <w:r w:rsidRPr="00DA09E2">
              <w:rPr>
                <w:rFonts w:ascii="Gill Sans MT" w:hAnsi="Gill Sans MT"/>
                <w:sz w:val="20"/>
              </w:rPr>
              <w:t>I can compare and give reasons for variations in how components function, including the brightness of bulbs, the loudness of buzzers and the on/off position of switches.</w:t>
            </w:r>
          </w:p>
          <w:p w:rsidR="00DA09E2" w:rsidRPr="00DA09E2" w:rsidRDefault="00DA09E2" w:rsidP="00A84DDC">
            <w:pPr>
              <w:rPr>
                <w:rFonts w:ascii="Gill Sans MT" w:hAnsi="Gill Sans MT"/>
                <w:sz w:val="20"/>
              </w:rPr>
            </w:pPr>
            <w:r w:rsidRPr="00DA09E2">
              <w:rPr>
                <w:rFonts w:ascii="Gill Sans MT" w:hAnsi="Gill Sans MT"/>
                <w:sz w:val="20"/>
              </w:rPr>
              <w:t>I can use recognised symbols when representing a simple circuit in a diagram.</w:t>
            </w:r>
          </w:p>
        </w:tc>
      </w:tr>
      <w:tr w:rsidR="009A7184" w:rsidRPr="00911C46" w:rsidTr="00A84DDC">
        <w:trPr>
          <w:trHeight w:val="625"/>
        </w:trPr>
        <w:tc>
          <w:tcPr>
            <w:tcW w:w="15979" w:type="dxa"/>
            <w:gridSpan w:val="7"/>
            <w:tcBorders>
              <w:bottom w:val="nil"/>
            </w:tcBorders>
            <w:shd w:val="clear" w:color="auto" w:fill="E5DFEC" w:themeFill="accent4" w:themeFillTint="33"/>
            <w:vAlign w:val="center"/>
          </w:tcPr>
          <w:p w:rsidR="009A7184" w:rsidRPr="00DA09E2" w:rsidRDefault="009A7184" w:rsidP="00A84DDC">
            <w:pPr>
              <w:spacing w:after="0"/>
              <w:rPr>
                <w:rFonts w:ascii="Gill Sans MT" w:hAnsi="Gill Sans MT"/>
                <w:b/>
                <w:sz w:val="20"/>
                <w:szCs w:val="20"/>
              </w:rPr>
            </w:pPr>
            <w:r w:rsidRPr="00DA09E2">
              <w:rPr>
                <w:rFonts w:ascii="Gill Sans MT" w:hAnsi="Gill Sans MT"/>
                <w:b/>
                <w:sz w:val="20"/>
                <w:szCs w:val="20"/>
              </w:rPr>
              <w:t>To work scientifically</w:t>
            </w:r>
          </w:p>
          <w:p w:rsidR="009A7184" w:rsidRPr="00DA09E2" w:rsidRDefault="009A7184" w:rsidP="00A84DDC">
            <w:pPr>
              <w:spacing w:after="0"/>
              <w:rPr>
                <w:rFonts w:ascii="Gill Sans MT" w:hAnsi="Gill Sans MT"/>
                <w:sz w:val="20"/>
                <w:szCs w:val="20"/>
              </w:rPr>
            </w:pPr>
            <w:r w:rsidRPr="00DA09E2">
              <w:rPr>
                <w:rFonts w:ascii="Gill Sans MT" w:hAnsi="Gill Sans MT"/>
                <w:sz w:val="20"/>
                <w:szCs w:val="20"/>
              </w:rPr>
              <w:t>Throughout my science learning...</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plan enquiries, including recognising and controlling variables where necessary.</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use appropriate techniques, apparatus and materials during fieldwork and laboratory work.</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take measurements, using a range of scientific equipment, with increasing accuracy and precision.</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record data and results of increasing complexity using scientific diagrams and labels, classification keys, tables, bar and line graphs, and models.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report findings from enquiries, including oral and written explanations of results, explanations involving causal relationships, and conclusions.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t>I can present findings in written form, displays and other presentations.</w:t>
            </w:r>
          </w:p>
          <w:p w:rsidR="009A7184" w:rsidRPr="00A84DDC" w:rsidRDefault="009A7184" w:rsidP="00A84DDC">
            <w:pPr>
              <w:spacing w:after="0"/>
              <w:rPr>
                <w:rFonts w:ascii="Gill Sans MT" w:hAnsi="Gill Sans MT"/>
                <w:sz w:val="20"/>
                <w:szCs w:val="20"/>
              </w:rPr>
            </w:pPr>
            <w:r w:rsidRPr="00A84DDC">
              <w:rPr>
                <w:rFonts w:ascii="Gill Sans MT" w:hAnsi="Gill Sans MT"/>
                <w:sz w:val="20"/>
                <w:szCs w:val="20"/>
              </w:rPr>
              <w:lastRenderedPageBreak/>
              <w:t>I can use test results to make predictions to set up further comparative and fair tests.</w:t>
            </w:r>
          </w:p>
          <w:p w:rsidR="009A7184" w:rsidRPr="00911C46" w:rsidRDefault="009A7184" w:rsidP="00A84DDC">
            <w:pPr>
              <w:rPr>
                <w:rFonts w:ascii="Gill Sans MT" w:hAnsi="Gill Sans MT"/>
              </w:rPr>
            </w:pPr>
            <w:r w:rsidRPr="00A84DDC">
              <w:rPr>
                <w:rFonts w:ascii="Gill Sans MT" w:hAnsi="Gill Sans MT"/>
                <w:sz w:val="20"/>
                <w:szCs w:val="20"/>
              </w:rPr>
              <w:t>I can use simple models to describe scientific ideas, identifying scientific evidence that has been used to support or refute ideas or arguments.</w:t>
            </w:r>
          </w:p>
        </w:tc>
      </w:tr>
      <w:tr w:rsidR="009A7184" w:rsidRPr="00911C46" w:rsidTr="00A84DDC">
        <w:trPr>
          <w:trHeight w:val="80"/>
        </w:trPr>
        <w:tc>
          <w:tcPr>
            <w:tcW w:w="15979" w:type="dxa"/>
            <w:gridSpan w:val="7"/>
            <w:tcBorders>
              <w:top w:val="nil"/>
            </w:tcBorders>
            <w:vAlign w:val="center"/>
          </w:tcPr>
          <w:p w:rsidR="009A7184" w:rsidRPr="00911C46" w:rsidRDefault="009A7184" w:rsidP="00A84DDC">
            <w:pPr>
              <w:rPr>
                <w:rFonts w:ascii="Gill Sans MT" w:hAnsi="Gill Sans MT"/>
              </w:rPr>
            </w:pPr>
          </w:p>
        </w:tc>
      </w:tr>
    </w:tbl>
    <w:p w:rsidR="0086424F" w:rsidRPr="001F4D69" w:rsidRDefault="0086424F" w:rsidP="0086424F">
      <w:pPr>
        <w:tabs>
          <w:tab w:val="left" w:pos="6060"/>
        </w:tabs>
        <w:spacing w:after="0" w:line="240" w:lineRule="auto"/>
        <w:rPr>
          <w:rFonts w:ascii="Gill Sans MT" w:hAnsi="Gill Sans MT" w:cs="Gill Sans MT"/>
          <w:sz w:val="24"/>
          <w:szCs w:val="24"/>
          <w:u w:val="single"/>
        </w:rPr>
      </w:pPr>
      <w:r w:rsidRPr="001F4D69">
        <w:rPr>
          <w:rFonts w:ascii="Gill Sans MT" w:hAnsi="Gill Sans MT" w:cs="Gill Sans MT"/>
          <w:sz w:val="24"/>
          <w:szCs w:val="24"/>
          <w:u w:val="single"/>
        </w:rPr>
        <w:t>Notes and guidance (</w:t>
      </w:r>
      <w:proofErr w:type="spellStart"/>
      <w:r w:rsidRPr="001F4D69">
        <w:rPr>
          <w:rFonts w:ascii="Gill Sans MT" w:hAnsi="Gill Sans MT" w:cs="Gill Sans MT"/>
          <w:sz w:val="24"/>
          <w:szCs w:val="24"/>
          <w:u w:val="single"/>
        </w:rPr>
        <w:t>non statutory</w:t>
      </w:r>
      <w:proofErr w:type="spellEnd"/>
      <w:r w:rsidRPr="001F4D69">
        <w:rPr>
          <w:rFonts w:ascii="Gill Sans MT" w:hAnsi="Gill Sans MT" w:cs="Gill Sans MT"/>
          <w:sz w:val="24"/>
          <w:szCs w:val="24"/>
          <w:u w:val="single"/>
        </w:rPr>
        <w:t xml:space="preserve">) </w:t>
      </w:r>
    </w:p>
    <w:p w:rsidR="0086424F" w:rsidRPr="001F4D69" w:rsidRDefault="0086424F" w:rsidP="0086424F">
      <w:pPr>
        <w:tabs>
          <w:tab w:val="left" w:pos="6060"/>
        </w:tabs>
        <w:spacing w:after="0" w:line="240" w:lineRule="auto"/>
        <w:rPr>
          <w:rFonts w:ascii="Gill Sans MT" w:hAnsi="Gill Sans MT" w:cs="Gill Sans MT"/>
          <w:sz w:val="24"/>
          <w:szCs w:val="24"/>
        </w:rPr>
      </w:pPr>
      <w:r w:rsidRPr="001F4D69">
        <w:rPr>
          <w:rFonts w:ascii="Gill Sans MT" w:hAnsi="Gill Sans MT" w:cs="Gill Sans MT"/>
          <w:sz w:val="24"/>
          <w:szCs w:val="24"/>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tbl>
      <w:tblPr>
        <w:tblStyle w:val="TableGrid"/>
        <w:tblW w:w="0" w:type="auto"/>
        <w:tblLook w:val="04A0" w:firstRow="1" w:lastRow="0" w:firstColumn="1" w:lastColumn="0" w:noHBand="0" w:noVBand="1"/>
      </w:tblPr>
      <w:tblGrid>
        <w:gridCol w:w="15388"/>
      </w:tblGrid>
      <w:tr w:rsidR="0086424F" w:rsidTr="0086424F">
        <w:trPr>
          <w:trHeight w:val="302"/>
        </w:trPr>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Animals including humans</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their learning from years 3 and 4 about the main body parts and internal organs (skeletal, muscular and digestive system) to explore and answer questions that help them to understand how the circulatory system enables the body to function.</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learn how to keep their bodies healthy and how their bodies might be damaged – including how some drugs and other substances can be harmful to the human body.</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exploring the work of scientists and scientific research about the relationship between diet, exercise, drugs, lifestyle and health.</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Living things and their habitats</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Light</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Pupils should build on the work on light in year 3, exploring the way that light behaves, including light sources, reflection and shadows. They should talk about what happens and make predictions.</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t>Evolution and inheritance</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86424F">
              <w:rPr>
                <w:rFonts w:ascii="Gill Sans MT" w:hAnsi="Gill Sans MT"/>
              </w:rPr>
              <w:t>labradors</w:t>
            </w:r>
            <w:proofErr w:type="spellEnd"/>
            <w:r w:rsidRPr="0086424F">
              <w:rPr>
                <w:rFonts w:ascii="Gill Sans MT" w:hAnsi="Gill Sans MT"/>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86424F">
              <w:rPr>
                <w:rFonts w:ascii="Gill Sans MT" w:hAnsi="Gill Sans MT"/>
              </w:rPr>
              <w:t>Anning</w:t>
            </w:r>
            <w:proofErr w:type="spellEnd"/>
            <w:r w:rsidRPr="0086424F">
              <w:rPr>
                <w:rFonts w:ascii="Gill Sans MT" w:hAnsi="Gill Sans MT"/>
              </w:rPr>
              <w:t xml:space="preserve"> and about how Charles Darwin and Alfred Wallace developed their ideas on evolution. </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Note: at this stage, pupils are not expected to understand how genes and chromosomes work.</w:t>
            </w:r>
          </w:p>
          <w:p w:rsidR="0086424F" w:rsidRDefault="0086424F" w:rsidP="0086424F">
            <w:pPr>
              <w:rPr>
                <w:rFonts w:ascii="Gill Sans MT" w:hAnsi="Gill Sans MT"/>
              </w:rPr>
            </w:pPr>
            <w:r>
              <w:rPr>
                <w:rFonts w:ascii="Gill Sans MT" w:hAnsi="Gill Sans MT"/>
              </w:rPr>
              <w:lastRenderedPageBreak/>
              <w:t>-</w:t>
            </w:r>
            <w:r w:rsidRPr="0086424F">
              <w:rPr>
                <w:rFonts w:ascii="Gill Sans MT" w:hAnsi="Gill Sans MT"/>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tc>
      </w:tr>
      <w:tr w:rsidR="0086424F" w:rsidTr="0086424F">
        <w:tc>
          <w:tcPr>
            <w:tcW w:w="15614" w:type="dxa"/>
            <w:shd w:val="clear" w:color="auto" w:fill="A6A6A6" w:themeFill="background1" w:themeFillShade="A6"/>
          </w:tcPr>
          <w:p w:rsidR="0086424F" w:rsidRDefault="0086424F">
            <w:pPr>
              <w:rPr>
                <w:rFonts w:ascii="Gill Sans MT" w:hAnsi="Gill Sans MT"/>
              </w:rPr>
            </w:pPr>
            <w:r>
              <w:rPr>
                <w:rFonts w:ascii="Gill Sans MT" w:hAnsi="Gill Sans MT"/>
              </w:rPr>
              <w:lastRenderedPageBreak/>
              <w:t>Electricity</w:t>
            </w:r>
          </w:p>
        </w:tc>
      </w:tr>
      <w:tr w:rsidR="0086424F" w:rsidTr="0086424F">
        <w:tc>
          <w:tcPr>
            <w:tcW w:w="15614" w:type="dxa"/>
          </w:tcPr>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p>
          <w:p w:rsidR="0086424F" w:rsidRPr="0086424F" w:rsidRDefault="0086424F" w:rsidP="0086424F">
            <w:pPr>
              <w:rPr>
                <w:rFonts w:ascii="Gill Sans MT" w:hAnsi="Gill Sans MT"/>
              </w:rPr>
            </w:pPr>
            <w:r>
              <w:rPr>
                <w:rFonts w:ascii="Gill Sans MT" w:hAnsi="Gill Sans MT"/>
              </w:rPr>
              <w:t>-</w:t>
            </w:r>
            <w:r w:rsidRPr="0086424F">
              <w:rPr>
                <w:rFonts w:ascii="Gill Sans MT" w:hAnsi="Gill Sans MT"/>
              </w:rPr>
              <w:t>Note: pupils are expected to learn only about series circuits, not parallel circuits. Pupils should be taught to take the necessary precautions for working safely with electricity.</w:t>
            </w:r>
          </w:p>
          <w:p w:rsidR="0086424F" w:rsidRDefault="0086424F" w:rsidP="0086424F">
            <w:pPr>
              <w:rPr>
                <w:rFonts w:ascii="Gill Sans MT" w:hAnsi="Gill Sans MT"/>
              </w:rPr>
            </w:pPr>
            <w:r>
              <w:rPr>
                <w:rFonts w:ascii="Gill Sans MT" w:hAnsi="Gill Sans MT"/>
              </w:rPr>
              <w:t>-</w:t>
            </w:r>
            <w:r w:rsidRPr="0086424F">
              <w:rPr>
                <w:rFonts w:ascii="Gill Sans MT" w:hAnsi="Gill Sans MT"/>
              </w:rPr>
              <w:t>Pupils might work scientifically by: systematically identifying the effect of changing one component at a time in a circuit; designing and making a set of traffic lights, a burglar alarm or some other useful circuit.</w:t>
            </w:r>
          </w:p>
        </w:tc>
      </w:tr>
    </w:tbl>
    <w:p w:rsidR="00911C46" w:rsidRPr="00911C46" w:rsidRDefault="00911C46">
      <w:pPr>
        <w:rPr>
          <w:rFonts w:ascii="Gill Sans MT" w:hAnsi="Gill Sans MT"/>
        </w:rPr>
      </w:pPr>
    </w:p>
    <w:sectPr w:rsidR="00911C46" w:rsidRPr="00911C46" w:rsidSect="00DA09E2">
      <w:headerReference w:type="default" r:id="rId6"/>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19" w:rsidRDefault="00B97319" w:rsidP="00617045">
      <w:pPr>
        <w:spacing w:after="0" w:line="240" w:lineRule="auto"/>
      </w:pPr>
      <w:r>
        <w:separator/>
      </w:r>
    </w:p>
  </w:endnote>
  <w:endnote w:type="continuationSeparator" w:id="0">
    <w:p w:rsidR="00B97319" w:rsidRDefault="00B97319" w:rsidP="0061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19" w:rsidRDefault="00B97319" w:rsidP="00617045">
      <w:pPr>
        <w:spacing w:after="0" w:line="240" w:lineRule="auto"/>
      </w:pPr>
      <w:r>
        <w:separator/>
      </w:r>
    </w:p>
  </w:footnote>
  <w:footnote w:type="continuationSeparator" w:id="0">
    <w:p w:rsidR="00B97319" w:rsidRDefault="00B97319" w:rsidP="0061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45" w:rsidRPr="00911C46" w:rsidRDefault="00617045" w:rsidP="00904740">
    <w:pPr>
      <w:pStyle w:val="Header"/>
      <w:jc w:val="center"/>
      <w:rPr>
        <w:rFonts w:ascii="Gill Sans MT" w:hAnsi="Gill Sans MT"/>
        <w:b/>
        <w:sz w:val="52"/>
        <w:szCs w:val="52"/>
      </w:rPr>
    </w:pPr>
    <w:r w:rsidRPr="00911C46">
      <w:rPr>
        <w:rFonts w:ascii="Gill Sans MT" w:hAnsi="Gill Sans MT"/>
        <w:b/>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45"/>
    <w:rsid w:val="00081633"/>
    <w:rsid w:val="00154F57"/>
    <w:rsid w:val="002A1202"/>
    <w:rsid w:val="003B4BF8"/>
    <w:rsid w:val="00617045"/>
    <w:rsid w:val="007139CE"/>
    <w:rsid w:val="0086424F"/>
    <w:rsid w:val="00904740"/>
    <w:rsid w:val="00911C46"/>
    <w:rsid w:val="009A7184"/>
    <w:rsid w:val="00A84DDC"/>
    <w:rsid w:val="00B9650E"/>
    <w:rsid w:val="00B97319"/>
    <w:rsid w:val="00BA4B0F"/>
    <w:rsid w:val="00D9114A"/>
    <w:rsid w:val="00DA09E2"/>
    <w:rsid w:val="00EC1BBF"/>
    <w:rsid w:val="00F6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5878-935E-4DF6-8B94-7884ADF2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0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045"/>
    <w:rPr>
      <w:rFonts w:ascii="Calibri" w:eastAsia="Calibri" w:hAnsi="Calibri" w:cs="Times New Roman"/>
    </w:rPr>
  </w:style>
  <w:style w:type="paragraph" w:styleId="Footer">
    <w:name w:val="footer"/>
    <w:basedOn w:val="Normal"/>
    <w:link w:val="FooterChar"/>
    <w:uiPriority w:val="99"/>
    <w:semiHidden/>
    <w:unhideWhenUsed/>
    <w:rsid w:val="006170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045"/>
    <w:rPr>
      <w:rFonts w:ascii="Calibri" w:eastAsia="Calibri" w:hAnsi="Calibri" w:cs="Times New Roman"/>
    </w:rPr>
  </w:style>
  <w:style w:type="table" w:styleId="TableGrid">
    <w:name w:val="Table Grid"/>
    <w:basedOn w:val="TableNormal"/>
    <w:uiPriority w:val="59"/>
    <w:rsid w:val="0086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Turner</dc:creator>
  <cp:lastModifiedBy>User</cp:lastModifiedBy>
  <cp:revision>2</cp:revision>
  <dcterms:created xsi:type="dcterms:W3CDTF">2020-10-01T10:53:00Z</dcterms:created>
  <dcterms:modified xsi:type="dcterms:W3CDTF">2020-10-01T10:53:00Z</dcterms:modified>
</cp:coreProperties>
</file>