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7"/>
        <w:gridCol w:w="2117"/>
        <w:gridCol w:w="2118"/>
        <w:gridCol w:w="2117"/>
        <w:gridCol w:w="2118"/>
      </w:tblGrid>
      <w:tr w:rsidR="00252C10" w:rsidRPr="007219FD">
        <w:trPr>
          <w:trHeight w:val="312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bookmarkStart w:id="0" w:name="_GoBack"/>
            <w:bookmarkEnd w:id="0"/>
            <w:r w:rsidRPr="007219FD">
              <w:rPr>
                <w:rFonts w:ascii="NTPreCursivefk" w:hAnsi="NTPreCursivefk" w:cs="NTPreCursivefk"/>
                <w:sz w:val="60"/>
                <w:szCs w:val="60"/>
              </w:rPr>
              <w:t>ck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76300" cy="876300"/>
                  <wp:effectExtent l="0" t="0" r="0" b="0"/>
                  <wp:docPr id="1" name="il_fi" descr="http://www.terifahrendorf.com/TeriFphSite/analog-cloc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erifahrendorf.com/TeriFphSite/analog-cloc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ff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44880" cy="723900"/>
                  <wp:effectExtent l="0" t="0" r="7620" b="0"/>
                  <wp:docPr id="2" name="Picture 2" descr="http://image.shutterstock.com/display_pic_with_logo/312424/312424,1240650560,1/stock-photo-young-six-year-old-boy-blowing-the-seeds-from-a-dandelion-clock-in-the-spring-sunshine-29102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.shutterstock.com/display_pic_with_logo/312424/312424,1240650560,1/stock-photo-young-six-year-old-boy-blowing-the-seeds-from-a-dandelion-clock-in-the-spring-sunshine-29102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ll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541020" cy="678180"/>
                  <wp:effectExtent l="0" t="0" r="0" b="7620"/>
                  <wp:docPr id="3" name="Picture 3" descr="http://www.uwosh.edu/faculty_staff/liske/handchimes/handbe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uwosh.edu/faculty_staff/liske/handchimes/handbe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ss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83920" cy="594360"/>
                  <wp:effectExtent l="0" t="0" r="0" b="0"/>
                  <wp:docPr id="4" name="Picture 4" descr="http://2.bp.blogspot.com/_pfU4m4KiJlo/S9xPO3wsdPI/AAAAAAAAAFI/JQo8JP0uvHA/s1600/Kiss+On+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2.bp.blogspot.com/_pfU4m4KiJlo/S9xPO3wsdPI/AAAAAAAAAFI/JQo8JP0uvHA/s1600/Kiss+On+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zz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784860" cy="640080"/>
                  <wp:effectExtent l="0" t="0" r="0" b="7620"/>
                  <wp:docPr id="5" name="Picture 5" descr="http://www.solent-bee-keepers.co.uk/solent%20bees%20image/bumble-be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olent-bee-keepers.co.uk/solent%20bees%20image/bumble-be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C3FFC3"/>
                              </a:clrFrom>
                              <a:clrTo>
                                <a:srgbClr val="C3FFC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10" w:rsidRPr="007219FD">
        <w:trPr>
          <w:trHeight w:val="319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qu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670560" cy="800100"/>
                  <wp:effectExtent l="0" t="0" r="0" b="0"/>
                  <wp:docPr id="6" name="Picture 6" descr="http://t0.gstatic.com/images?q=tbn:fs5QU05x2O65AM:http://www.cheatmasters.com/blog/wp-content/uploads/2008/01/royal_queen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0.gstatic.com/images?q=tbn:fs5QU05x2O65AM:http://www.cheatmasters.com/blog/wp-content/uploads/2008/01/royal_queen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ch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98220" cy="784860"/>
                  <wp:effectExtent l="0" t="0" r="0" b="0"/>
                  <wp:docPr id="7" name="Picture 7" descr="http://www.kontrastblog.com/wp-content/uploads/2007/07/nanos_cheese_produc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ontrastblog.com/wp-content/uploads/2007/07/nanos_cheese_produc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sh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90600" cy="640080"/>
                  <wp:effectExtent l="0" t="0" r="0" b="7620"/>
                  <wp:docPr id="8" name="Picture 8" descr="http://i.treehugger.com/images/2007/10/24/Scallop-Shell-dei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.treehugger.com/images/2007/10/24/Scallop-Shell-deic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th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563880" cy="746760"/>
                  <wp:effectExtent l="0" t="0" r="7620" b="0"/>
                  <wp:docPr id="9" name="Picture 9" descr="http://www.cards4magic.co.uk/acatalog/FrediUpSection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rds4magic.co.uk/acatalog/FrediUpSection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b/>
                <w:bCs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b/>
                <w:bCs/>
                <w:sz w:val="60"/>
                <w:szCs w:val="60"/>
              </w:rPr>
              <w:t>th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b/>
                <w:bCs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61060" cy="861060"/>
                  <wp:effectExtent l="0" t="0" r="0" b="0"/>
                  <wp:docPr id="10" name="Picture 10" descr="http://t3.gstatic.com/images?q=tbn:PAgzwL6BXwfvTM:http://www.sxc.hu/pic/m/c/cy/cyanocorax/1051853_macaw_feather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3.gstatic.com/images?q=tbn:PAgzwL6BXwfvTM:http://www.sxc.hu/pic/m/c/cy/cyanocorax/1051853_macaw_feather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10" w:rsidRPr="007219FD">
        <w:trPr>
          <w:trHeight w:val="297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ng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45820" cy="800100"/>
                  <wp:effectExtent l="0" t="0" r="0" b="0"/>
                  <wp:docPr id="11" name="Picture 11" descr="http://www.scfamilylaw.com/uploads/image/engagement%20ring%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cfamilylaw.com/uploads/image/engagement%20ring%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ai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22960" cy="655320"/>
                  <wp:effectExtent l="0" t="0" r="0" b="0"/>
                  <wp:docPr id="12" name="Picture 12" descr="http://planterspk.com/Services%20pages/images/snai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lanterspk.com/Services%20pages/images/snai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ee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  <w:lang w:eastAsia="en-GB"/>
              </w:rPr>
              <w:drawing>
                <wp:inline distT="0" distB="0" distL="0" distR="0">
                  <wp:extent cx="762000" cy="716280"/>
                  <wp:effectExtent l="0" t="0" r="0" b="7620"/>
                  <wp:docPr id="13" name="Picture 3" descr="http://www.sclerodermasociety.co.uk/userfiles/feet-761353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clerodermasociety.co.uk/userfiles/feet-761353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igh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60120" cy="723900"/>
                  <wp:effectExtent l="0" t="0" r="0" b="0"/>
                  <wp:docPr id="14" name="Picture 14" descr="http://t1.gstatic.com/images?q=tbn:52lV00uv_yAHNM:http://www.wallpaper.net.au/wallpapers/miscellaneous/Light-Bulb-1-1024x768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1.gstatic.com/images?q=tbn:52lV00uv_yAHNM:http://www.wallpaper.net.au/wallpapers/miscellaneous/Light-Bulb-1-1024x768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oa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  <w:lang w:eastAsia="en-GB"/>
              </w:rPr>
              <w:drawing>
                <wp:inline distT="0" distB="0" distL="0" distR="0">
                  <wp:extent cx="784860" cy="708660"/>
                  <wp:effectExtent l="0" t="0" r="0" b="0"/>
                  <wp:docPr id="15" name="Picture 4" descr="http://www.neilthompsonboats.co.uk/urchin/assets/images/_mod/20130201_185411.302.73.-1.480.85.0.center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eilthompsonboats.co.uk/urchin/assets/images/_mod/20130201_185411.302.73.-1.480.85.0.center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10" w:rsidRPr="007219FD">
        <w:trPr>
          <w:trHeight w:val="297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oi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571500" cy="594360"/>
                  <wp:effectExtent l="0" t="0" r="0" b="0"/>
                  <wp:docPr id="16" name="Picture 16" descr="http://www.goldbuyguide.com/pictures/maple-leaf/Canadian-Maple-Leaf-gold-co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goldbuyguide.com/pictures/maple-leaf/Canadian-Maple-Leaf-gold-co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b/>
                <w:bCs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b/>
                <w:bCs/>
                <w:sz w:val="60"/>
                <w:szCs w:val="60"/>
              </w:rPr>
              <w:t>oo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  <w:lang w:eastAsia="en-GB"/>
              </w:rPr>
              <w:drawing>
                <wp:inline distT="0" distB="0" distL="0" distR="0">
                  <wp:extent cx="746760" cy="746760"/>
                  <wp:effectExtent l="0" t="0" r="0" b="0"/>
                  <wp:docPr id="17" name="Picture 6" descr="http://farm3.staticflickr.com/2005/2536319961_55e06e9318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rm3.staticflickr.com/2005/2536319961_55e06e9318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oo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75360" cy="655320"/>
                  <wp:effectExtent l="0" t="0" r="0" b="0"/>
                  <wp:docPr id="18" name="Picture 18" descr="http://t0.gstatic.com/images?q=tbn:suk4El4kYHW1qM:http://media.smashingmagazine.com/cdn_smash/images/404-2/book.pn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0.gstatic.com/images?q=tbn:suk4El4kYHW1qM:http://media.smashingmagazine.com/cdn_smash/images/404-2/book.pn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ow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784860" cy="678180"/>
                  <wp:effectExtent l="0" t="0" r="0" b="7620"/>
                  <wp:docPr id="19" name="Picture 19" descr="http://www.faqs.org/photo-dict/photofiles/list/348/700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aqs.org/photo-dict/photofiles/list/348/700c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ar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883920" cy="464820"/>
                  <wp:effectExtent l="0" t="0" r="0" b="0"/>
                  <wp:docPr id="20" name="Picture 20" descr="http://www.zcars.com.au/images/2008-subaru-wrc-concept-ca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zcars.com.au/images/2008-subaru-wrc-concept-ca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10" w:rsidRPr="007219FD">
        <w:trPr>
          <w:trHeight w:val="297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air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525780" cy="685800"/>
                  <wp:effectExtent l="0" t="0" r="7620" b="0"/>
                  <wp:docPr id="21" name="Picture 21" descr="http://brainaudit.com/blog/wp-content/uploads/2008/08/c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brainaudit.com/blog/wp-content/uploads/2008/08/c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ear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365760" cy="571500"/>
                  <wp:effectExtent l="0" t="0" r="0" b="0"/>
                  <wp:docPr id="22" name="Picture 22" descr="http://www.aintreehospitals.nhs.uk/Library/hospital_services_images/E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intreehospitals.nhs.uk/Library/hospital_services_images/E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er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601980" cy="571500"/>
                  <wp:effectExtent l="0" t="0" r="7620" b="0"/>
                  <wp:docPr id="23" name="Picture 23" descr="http://static.howstuffworks.com/gif/hammer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tatic.howstuffworks.com/gif/hammer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ur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82980" cy="609600"/>
                  <wp:effectExtent l="0" t="0" r="7620" b="0"/>
                  <wp:docPr id="24" name="Picture 24" descr="http://www.20days.co.uk/2008events/lanzarote-surf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20days.co.uk/2008events/lanzarote-surf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8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or</w:t>
            </w:r>
          </w:p>
          <w:p w:rsidR="00252C10" w:rsidRPr="007219FD" w:rsidRDefault="00334F8B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609600" cy="609600"/>
                  <wp:effectExtent l="0" t="0" r="0" b="0"/>
                  <wp:docPr id="25" name="Picture 25" descr="http://www.webstaurantstore.com/regency-11-1-2-banquet-serving-fork/regency-11-1-2-banquet-serving-fo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webstaurantstore.com/regency-11-1-2-banquet-serving-fork/regency-11-1-2-banquet-serving-fo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C10" w:rsidRPr="007219FD">
        <w:trPr>
          <w:trHeight w:val="297"/>
        </w:trPr>
        <w:tc>
          <w:tcPr>
            <w:tcW w:w="2117" w:type="dxa"/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7219FD">
              <w:rPr>
                <w:rFonts w:ascii="NTPreCursivefk" w:hAnsi="NTPreCursivefk" w:cs="NTPreCursivefk"/>
                <w:sz w:val="60"/>
                <w:szCs w:val="60"/>
              </w:rPr>
              <w:t>ure</w:t>
            </w:r>
            <w:r w:rsidR="00334F8B">
              <w:rPr>
                <w:rFonts w:ascii="NTPreCursivefk" w:hAnsi="NTPreCursivefk" w:cs="NTPreCursivefk"/>
                <w:noProof/>
                <w:sz w:val="60"/>
                <w:szCs w:val="60"/>
                <w:lang w:eastAsia="en-GB"/>
              </w:rPr>
              <w:drawing>
                <wp:inline distT="0" distB="0" distL="0" distR="0">
                  <wp:extent cx="937260" cy="685800"/>
                  <wp:effectExtent l="0" t="0" r="0" b="0"/>
                  <wp:docPr id="26" name="Picture 26" descr="http://www.basic-info-4-organic-fertilizers.com/images/cowmanureNR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asic-info-4-organic-fertilizers.com/images/cowmanureNR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  <w:gridSpan w:val="4"/>
            <w:tcBorders>
              <w:bottom w:val="nil"/>
              <w:right w:val="nil"/>
            </w:tcBorders>
          </w:tcPr>
          <w:p w:rsidR="00252C10" w:rsidRPr="007219FD" w:rsidRDefault="00252C10" w:rsidP="00EE13A8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</w:p>
        </w:tc>
      </w:tr>
    </w:tbl>
    <w:p w:rsidR="00252C10" w:rsidRPr="00523DFC" w:rsidRDefault="00252C10" w:rsidP="00523DFC"/>
    <w:sectPr w:rsidR="00252C10" w:rsidRPr="00523DFC" w:rsidSect="008203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C"/>
    <w:rsid w:val="00027D67"/>
    <w:rsid w:val="00031ED0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F166B"/>
    <w:rsid w:val="001131EF"/>
    <w:rsid w:val="00123266"/>
    <w:rsid w:val="00127546"/>
    <w:rsid w:val="00152763"/>
    <w:rsid w:val="00153E4B"/>
    <w:rsid w:val="001654AB"/>
    <w:rsid w:val="00170535"/>
    <w:rsid w:val="00170F19"/>
    <w:rsid w:val="001A4754"/>
    <w:rsid w:val="001C48F0"/>
    <w:rsid w:val="001D74A7"/>
    <w:rsid w:val="001E235B"/>
    <w:rsid w:val="001E7853"/>
    <w:rsid w:val="00212857"/>
    <w:rsid w:val="0022180F"/>
    <w:rsid w:val="00230A08"/>
    <w:rsid w:val="00252C10"/>
    <w:rsid w:val="0025631C"/>
    <w:rsid w:val="0029648F"/>
    <w:rsid w:val="002A603A"/>
    <w:rsid w:val="002B1535"/>
    <w:rsid w:val="002B2319"/>
    <w:rsid w:val="002B3DDC"/>
    <w:rsid w:val="002B4589"/>
    <w:rsid w:val="002C4A81"/>
    <w:rsid w:val="002C7696"/>
    <w:rsid w:val="002E5F53"/>
    <w:rsid w:val="002F1D82"/>
    <w:rsid w:val="00313CCB"/>
    <w:rsid w:val="0032480A"/>
    <w:rsid w:val="00331046"/>
    <w:rsid w:val="00332081"/>
    <w:rsid w:val="00334F8B"/>
    <w:rsid w:val="0033632B"/>
    <w:rsid w:val="00340460"/>
    <w:rsid w:val="00365425"/>
    <w:rsid w:val="00371C9A"/>
    <w:rsid w:val="00383B0E"/>
    <w:rsid w:val="003B18B7"/>
    <w:rsid w:val="003B73BD"/>
    <w:rsid w:val="003E4BAB"/>
    <w:rsid w:val="00421B3E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5D"/>
    <w:rsid w:val="00501941"/>
    <w:rsid w:val="00502778"/>
    <w:rsid w:val="005038F4"/>
    <w:rsid w:val="0051591E"/>
    <w:rsid w:val="00523DFC"/>
    <w:rsid w:val="00525FF8"/>
    <w:rsid w:val="005333F5"/>
    <w:rsid w:val="005568BB"/>
    <w:rsid w:val="00565814"/>
    <w:rsid w:val="00597B2A"/>
    <w:rsid w:val="005A2E8C"/>
    <w:rsid w:val="005C4A2A"/>
    <w:rsid w:val="005E437E"/>
    <w:rsid w:val="005F078D"/>
    <w:rsid w:val="00603C4A"/>
    <w:rsid w:val="0063769A"/>
    <w:rsid w:val="006441A9"/>
    <w:rsid w:val="006454D9"/>
    <w:rsid w:val="00656DA2"/>
    <w:rsid w:val="0066703B"/>
    <w:rsid w:val="00671718"/>
    <w:rsid w:val="00672D48"/>
    <w:rsid w:val="00673127"/>
    <w:rsid w:val="00684436"/>
    <w:rsid w:val="00693FDF"/>
    <w:rsid w:val="006950B8"/>
    <w:rsid w:val="00696F28"/>
    <w:rsid w:val="006A5E94"/>
    <w:rsid w:val="006B248F"/>
    <w:rsid w:val="006D10DF"/>
    <w:rsid w:val="007219FD"/>
    <w:rsid w:val="00727CE2"/>
    <w:rsid w:val="007500D8"/>
    <w:rsid w:val="0076612B"/>
    <w:rsid w:val="0078235C"/>
    <w:rsid w:val="00783CA9"/>
    <w:rsid w:val="00787462"/>
    <w:rsid w:val="00794B94"/>
    <w:rsid w:val="007B401B"/>
    <w:rsid w:val="007F0B37"/>
    <w:rsid w:val="007F22A4"/>
    <w:rsid w:val="007F4352"/>
    <w:rsid w:val="007F7927"/>
    <w:rsid w:val="008046C3"/>
    <w:rsid w:val="00820360"/>
    <w:rsid w:val="00830CD5"/>
    <w:rsid w:val="0083276E"/>
    <w:rsid w:val="00852F8C"/>
    <w:rsid w:val="00884101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A056AE"/>
    <w:rsid w:val="00A41F02"/>
    <w:rsid w:val="00AB381B"/>
    <w:rsid w:val="00AB4FDD"/>
    <w:rsid w:val="00AC55E5"/>
    <w:rsid w:val="00AC7A58"/>
    <w:rsid w:val="00AD78B3"/>
    <w:rsid w:val="00B107AA"/>
    <w:rsid w:val="00B26610"/>
    <w:rsid w:val="00B7441D"/>
    <w:rsid w:val="00B77168"/>
    <w:rsid w:val="00B864AA"/>
    <w:rsid w:val="00B87E6F"/>
    <w:rsid w:val="00B9745C"/>
    <w:rsid w:val="00BC6650"/>
    <w:rsid w:val="00BE1123"/>
    <w:rsid w:val="00BF6354"/>
    <w:rsid w:val="00C24C95"/>
    <w:rsid w:val="00C53E96"/>
    <w:rsid w:val="00C70BC5"/>
    <w:rsid w:val="00C75CDE"/>
    <w:rsid w:val="00C92E6E"/>
    <w:rsid w:val="00CD1399"/>
    <w:rsid w:val="00CE5C8B"/>
    <w:rsid w:val="00D059E8"/>
    <w:rsid w:val="00D108FF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C7781"/>
    <w:rsid w:val="00DD3CFC"/>
    <w:rsid w:val="00E31DFD"/>
    <w:rsid w:val="00E42356"/>
    <w:rsid w:val="00E450CE"/>
    <w:rsid w:val="00E5067A"/>
    <w:rsid w:val="00E762F7"/>
    <w:rsid w:val="00E9282E"/>
    <w:rsid w:val="00E9767D"/>
    <w:rsid w:val="00EB338A"/>
    <w:rsid w:val="00EB36B8"/>
    <w:rsid w:val="00EC14BE"/>
    <w:rsid w:val="00EC1AF1"/>
    <w:rsid w:val="00EC2647"/>
    <w:rsid w:val="00ED059A"/>
    <w:rsid w:val="00ED34ED"/>
    <w:rsid w:val="00EE13A8"/>
    <w:rsid w:val="00EF4D7A"/>
    <w:rsid w:val="00F23746"/>
    <w:rsid w:val="00F35FF7"/>
    <w:rsid w:val="00F375A9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7B89059-5B9E-4326-84C2-7F4D6AD1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FC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7546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7163B"/>
    <w:pPr>
      <w:spacing w:after="0" w:line="240" w:lineRule="auto"/>
    </w:pPr>
    <w:rPr>
      <w:rFonts w:ascii="Tahom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C2"/>
    <w:rPr>
      <w:sz w:val="0"/>
      <w:szCs w:val="0"/>
      <w:lang w:eastAsia="en-US"/>
    </w:rPr>
  </w:style>
  <w:style w:type="character" w:styleId="Hyperlink">
    <w:name w:val="Hyperlink"/>
    <w:basedOn w:val="DefaultParagraphFont"/>
    <w:uiPriority w:val="99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9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44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489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34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5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google.co.uk/url?sa=i&amp;rct=j&amp;q=feet&amp;source=images&amp;cd=&amp;cad=rja&amp;docid=LXxT5i3keJsq5M&amp;tbnid=cyp6OgYLE2kdcM:&amp;ved=0CAUQjRw&amp;url=http://www.sclerodermasociety.co.uk/Thefeetandscleroderma1.php&amp;ei=4di8UcKaNsqb0QWMm4GgCg&amp;psig=AFQjCNFuMH9G-sdB-trRxnsQkMODZqRWEg&amp;ust=13714171379661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www.google.co.uk/url?sa=i&amp;rct=j&amp;q=boat&amp;source=images&amp;cd=&amp;cad=rja&amp;docid=ED1l9eZjWXHL2M&amp;tbnid=RUJgYHSOxUOV7M:&amp;ved=0CAUQjRw&amp;url=http://www.neilthompsonboats.co.uk/index.php5?page=52&amp;ei=sNm8UcTZOoPC0QWAvYDYCw&amp;psig=AFQjCNGxNOkwffb0hDEClgjmvpWQtU0faQ&amp;ust=13714172707840" TargetMode="External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www.google.co.uk/url?sa=i&amp;rct=j&amp;q=crescent+moon&amp;source=images&amp;cd=&amp;cad=rja&amp;docid=aI3SEsSFdbYKrM&amp;tbnid=JPK1tFTstRFxuM:&amp;ved=0CAUQjRw&amp;url=http://www.flickr.com/photos/bunnyfrogs/galleries/72157624641457961/&amp;ei=gNq8UYb0AenK0QX_nIG4Cg&amp;psig=AFQjCNENGPQdG0WHD4CLDSUA3OG8Eu0w7g&amp;ust=13714174962959" TargetMode="External"/><Relationship Id="rId28" Type="http://schemas.openxmlformats.org/officeDocument/2006/relationships/image" Target="media/image2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Ergo Computing UK LTD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Emma</dc:creator>
  <cp:keywords/>
  <dc:description/>
  <cp:lastModifiedBy>User</cp:lastModifiedBy>
  <cp:revision>2</cp:revision>
  <cp:lastPrinted>2015-06-23T12:24:00Z</cp:lastPrinted>
  <dcterms:created xsi:type="dcterms:W3CDTF">2021-01-13T16:42:00Z</dcterms:created>
  <dcterms:modified xsi:type="dcterms:W3CDTF">2021-01-13T16:42:00Z</dcterms:modified>
</cp:coreProperties>
</file>