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"/>
        <w:gridCol w:w="1474"/>
        <w:gridCol w:w="1799"/>
        <w:gridCol w:w="1800"/>
        <w:gridCol w:w="1471"/>
        <w:gridCol w:w="1636"/>
        <w:gridCol w:w="981"/>
        <w:gridCol w:w="6"/>
      </w:tblGrid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426720" cy="335280"/>
                  <wp:effectExtent l="0" t="0" r="0" b="7620"/>
                  <wp:docPr id="1" name="il_fi" descr="http://planterspk.com/Services%20pages/images/sna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lanterspk.com/Services%20pages/images/snai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noProof/>
                <w:sz w:val="56"/>
                <w:szCs w:val="56"/>
              </w:rPr>
              <w:t>ai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ay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a-e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eigh</w:t>
            </w: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ey</w:t>
            </w: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ei</w:t>
            </w: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56"/>
                <w:szCs w:val="56"/>
              </w:rPr>
              <w:drawing>
                <wp:inline distT="0" distB="0" distL="0" distR="0">
                  <wp:extent cx="449580" cy="419100"/>
                  <wp:effectExtent l="0" t="0" r="7620" b="0"/>
                  <wp:docPr id="2" name="Picture 6" descr="http://www.sclerodermasociety.co.uk/userfiles/feet-761353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clerodermasociety.co.uk/userfiles/feet-761353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ee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ea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ey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e-e</w:t>
            </w: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ie</w:t>
            </w: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y</w:t>
            </w: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480060" cy="350520"/>
                  <wp:effectExtent l="0" t="0" r="0" b="0"/>
                  <wp:docPr id="3" name="Picture 3" descr="http://t1.gstatic.com/images?q=tbn:52lV00uv_yAHNM:http://www.wallpaper.net.au/wallpapers/miscellaneous/Light-Bulb-1-1024x768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1.gstatic.com/images?q=tbn:52lV00uv_yAHNM:http://www.wallpaper.net.au/wallpapers/miscellaneous/Light-Bulb-1-1024x768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igh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ie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i-e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y</w:t>
            </w: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56"/>
                <w:szCs w:val="56"/>
              </w:rPr>
              <w:drawing>
                <wp:inline distT="0" distB="0" distL="0" distR="0">
                  <wp:extent cx="419100" cy="381000"/>
                  <wp:effectExtent l="0" t="0" r="0" b="0"/>
                  <wp:docPr id="4" name="Picture 4" descr="http://www.neilthompsonboats.co.uk/urchin/assets/images/_mod/20130201_185411.302.73.-1.480.85.0.center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eilthompsonboats.co.uk/urchin/assets/images/_mod/20130201_185411.302.73.-1.480.85.0.center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oa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oe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o-e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ow</w:t>
            </w: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</w:t>
            </w: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b/>
                <w:bCs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56"/>
                <w:szCs w:val="56"/>
              </w:rPr>
              <w:drawing>
                <wp:inline distT="0" distB="0" distL="0" distR="0">
                  <wp:extent cx="449580" cy="449580"/>
                  <wp:effectExtent l="0" t="0" r="7620" b="7620"/>
                  <wp:docPr id="5" name="Picture 7" descr="http://farm3.staticflickr.com/2005/2536319961_55e06e9318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rm3.staticflickr.com/2005/2536319961_55e06e9318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b/>
                <w:bCs/>
                <w:sz w:val="56"/>
                <w:szCs w:val="56"/>
              </w:rPr>
              <w:t>oo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ew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ue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u-e</w:t>
            </w: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502920" cy="335280"/>
                  <wp:effectExtent l="0" t="0" r="0" b="7620"/>
                  <wp:docPr id="6" name="Picture 6" descr="http://t0.gstatic.com/images?q=tbn:suk4El4kYHW1qM:http://media.smashingmagazine.com/cdn_smash/images/404-2/book.pn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0.gstatic.com/images?q=tbn:suk4El4kYHW1qM:http://media.smashingmagazine.com/cdn_smash/images/404-2/book.pn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noProof/>
                <w:sz w:val="56"/>
                <w:szCs w:val="56"/>
              </w:rPr>
              <w:t>oo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u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oul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tcBorders>
              <w:left w:val="nil"/>
            </w:tcBorders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tcBorders>
              <w:right w:val="nil"/>
            </w:tcBorders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50520" cy="464820"/>
                  <wp:effectExtent l="0" t="0" r="0" b="0"/>
                  <wp:docPr id="7" name="Picture 7" descr="http://brainaudit.com/blog/wp-content/uploads/2008/08/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rainaudit.com/blog/wp-content/uploads/2008/08/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air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are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ear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502920" cy="274320"/>
                  <wp:effectExtent l="0" t="0" r="0" b="0"/>
                  <wp:docPr id="8" name="Picture 8" descr="http://www.zcars.com.au/images/2008-subaru-wrc-concept-c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zcars.com.au/images/2008-subaru-wrc-concept-c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ar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a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81000" cy="502920"/>
                  <wp:effectExtent l="0" t="0" r="0" b="0"/>
                  <wp:docPr id="9" name="Picture 9" descr="http://unchealthcare.files.wordpress.com/2009/11/e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nchealthcare.files.wordpress.com/2009/11/e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ea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12420" cy="464820"/>
                  <wp:effectExtent l="0" t="0" r="0" b="0"/>
                  <wp:docPr id="10" name="Picture 10" descr="http://www.aintreehospitals.nhs.uk/Library/hospital_services_images/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intreehospitals.nhs.uk/Library/hospital_services_images/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ear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eer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ere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12420" cy="297180"/>
                  <wp:effectExtent l="0" t="0" r="0" b="7620"/>
                  <wp:docPr id="11" name="Picture 11" descr="http://static.howstuffworks.com/gif/hamm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tatic.howstuffworks.com/gif/hamm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er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our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u</w:t>
            </w: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464820" cy="388620"/>
                  <wp:effectExtent l="0" t="0" r="0" b="0"/>
                  <wp:docPr id="12" name="Picture 12" descr="http://www.inkyfishpoets.co.uk/Images/ink_spl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inkyfishpoets.co.uk/Images/ink_spl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i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y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ey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88620" cy="403860"/>
                  <wp:effectExtent l="0" t="0" r="0" b="0"/>
                  <wp:docPr id="13" name="Picture 13" descr="http://sceopellen.files.wordpress.com/2008/04/litcrittoolkit-orang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eopellen.files.wordpress.com/2008/04/litcrittoolkit-orang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(w)a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50520" cy="365760"/>
                  <wp:effectExtent l="0" t="0" r="0" b="0"/>
                  <wp:docPr id="14" name="Picture 14" descr="http://www.goldbuyguide.com/pictures/maple-leaf/Canadian-Maple-Leaf-gold-co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goldbuyguide.com/pictures/maple-leaf/Canadian-Maple-Leaf-gold-co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oi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oy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81000" cy="381000"/>
                  <wp:effectExtent l="0" t="0" r="0" b="0"/>
                  <wp:docPr id="15" name="Picture 15" descr="http://www.webstaurantstore.com/regency-11-1-2-banquet-serving-fork/regency-11-1-2-banquet-serving-f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webstaurantstore.com/regency-11-1-2-banquet-serving-fork/regency-11-1-2-banquet-serving-f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or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aw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au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our</w:t>
            </w: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403860" cy="350520"/>
                  <wp:effectExtent l="0" t="0" r="0" b="0"/>
                  <wp:docPr id="16" name="Picture 16" descr="http://www.faqs.org/photo-dict/photofiles/list/348/700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faqs.org/photo-dict/photofiles/list/348/700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noProof/>
                <w:sz w:val="56"/>
                <w:szCs w:val="56"/>
              </w:rPr>
              <w:t>ow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ou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495300" cy="304800"/>
                  <wp:effectExtent l="0" t="0" r="0" b="0"/>
                  <wp:docPr id="17" name="Picture 17" descr="http://www.20days.co.uk/2008events/lanzarote-surf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20days.co.uk/2008events/lanzarote-surf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ur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ir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er</w:t>
            </w: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ear</w:t>
            </w: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gridAfter w:val="1"/>
          <w:wAfter w:w="6" w:type="dxa"/>
          <w:trHeight w:val="741"/>
        </w:trPr>
        <w:tc>
          <w:tcPr>
            <w:tcW w:w="1431" w:type="dxa"/>
            <w:vAlign w:val="center"/>
          </w:tcPr>
          <w:p w:rsidR="008643E4" w:rsidRPr="004D357D" w:rsidRDefault="00502674" w:rsidP="004D357D">
            <w:pPr>
              <w:jc w:val="center"/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502920" cy="365760"/>
                  <wp:effectExtent l="0" t="0" r="0" b="0"/>
                  <wp:docPr id="18" name="Picture 18" descr="http://www.basic-info-4-organic-fertilizers.com/images/cowmanureNR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basic-info-4-organic-fertilizers.com/images/cowmanureNR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ure</w:t>
            </w:r>
          </w:p>
        </w:tc>
        <w:tc>
          <w:tcPr>
            <w:tcW w:w="1799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our</w:t>
            </w:r>
          </w:p>
        </w:tc>
        <w:tc>
          <w:tcPr>
            <w:tcW w:w="180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7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36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81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</w:tbl>
    <w:p w:rsidR="008643E4" w:rsidRPr="00ED1914" w:rsidRDefault="008643E4">
      <w:pPr>
        <w:rPr>
          <w:sz w:val="56"/>
          <w:szCs w:val="56"/>
        </w:rPr>
      </w:pPr>
      <w:r w:rsidRPr="00ED1914">
        <w:rPr>
          <w:sz w:val="56"/>
          <w:szCs w:val="56"/>
        </w:rPr>
        <w:br w:type="page"/>
      </w:r>
    </w:p>
    <w:tbl>
      <w:tblPr>
        <w:tblW w:w="105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2"/>
        <w:gridCol w:w="1360"/>
        <w:gridCol w:w="126"/>
        <w:gridCol w:w="1291"/>
        <w:gridCol w:w="522"/>
        <w:gridCol w:w="1746"/>
        <w:gridCol w:w="68"/>
        <w:gridCol w:w="1483"/>
        <w:gridCol w:w="9"/>
        <w:gridCol w:w="1640"/>
        <w:gridCol w:w="9"/>
        <w:gridCol w:w="902"/>
      </w:tblGrid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73380" cy="464820"/>
                  <wp:effectExtent l="0" t="0" r="7620" b="0"/>
                  <wp:docPr id="19" name="Picture 19" descr="http://www.internetvideomag.com/images/movies-2005/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internetvideomag.com/images/movies-2005/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c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k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ck</w:t>
            </w: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qu</w:t>
            </w: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472440" cy="381000"/>
                  <wp:effectExtent l="0" t="0" r="3810" b="0"/>
                  <wp:docPr id="20" name="Picture 20" descr="http://www.kontrastblog.com/wp-content/uploads/2007/07/nanos_cheese_produc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kontrastblog.com/wp-content/uploads/2007/07/nanos_cheese_produc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ch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tch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502920" cy="342900"/>
                  <wp:effectExtent l="0" t="0" r="0" b="0"/>
                  <wp:docPr id="21" name="Picture 21" descr="http://sciencecastle.com/sc/app/webroot/img/articles/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sciencecastle.com/sc/app/webroot/img/articles/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f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ph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35280" cy="472440"/>
                  <wp:effectExtent l="0" t="0" r="7620" b="3810"/>
                  <wp:docPr id="22" name="Picture 22" descr="http://www.dogbreedinfo.com/images18/HorseJack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ogbreedinfo.com/images18/HorseJackFie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h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wh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73380" cy="388620"/>
                  <wp:effectExtent l="0" t="0" r="7620" b="0"/>
                  <wp:docPr id="23" name="Picture 28" descr="CSR Super simple Apple and Raspberry J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SR Super simple Apple and Raspberry J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j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g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dge</w:t>
            </w: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73380" cy="373380"/>
                  <wp:effectExtent l="0" t="0" r="7620" b="7620"/>
                  <wp:docPr id="24" name="Picture 24" descr="http://www.naturfoto-cz.de/photos/mraz/vervet-monkey-05a09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naturfoto-cz.de/photos/mraz/vervet-monkey-05a09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m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mb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502920" cy="502920"/>
                  <wp:effectExtent l="0" t="0" r="0" b="0"/>
                  <wp:docPr id="25" name="Picture 25" descr="http://www.faqs.org/photo-dict/photofiles/list/3170/4613bird_n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faqs.org/photo-dict/photofiles/list/3170/4613bird_n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n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kn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gn</w:t>
            </w: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403860" cy="358140"/>
                  <wp:effectExtent l="0" t="0" r="0" b="3810"/>
                  <wp:docPr id="26" name="Picture 26" descr="http://www.creationsbydawn.net/pi/tutorials/rabb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reationsbydawn.net/pi/tutorials/rabb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r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wr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457200" cy="312420"/>
                  <wp:effectExtent l="0" t="0" r="0" b="0"/>
                  <wp:docPr id="27" name="Picture 27" descr="http://static.howstuffworks.com/gif/willow/coral-snake-info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tatic.howstuffworks.com/gif/willow/coral-snake-info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s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c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sc</w:t>
            </w: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502920" cy="327660"/>
                  <wp:effectExtent l="0" t="0" r="0" b="0"/>
                  <wp:docPr id="28" name="Picture 28" descr="http://i.treehugger.com/images/2007/10/24/Scallop-Shell-dei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.treehugger.com/images/2007/10/24/Scallop-Shell-deic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sh</w:t>
            </w:r>
          </w:p>
        </w:tc>
        <w:tc>
          <w:tcPr>
            <w:tcW w:w="1417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ch</w:t>
            </w:r>
          </w:p>
        </w:tc>
        <w:tc>
          <w:tcPr>
            <w:tcW w:w="2268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t(ion)</w:t>
            </w:r>
          </w:p>
        </w:tc>
        <w:tc>
          <w:tcPr>
            <w:tcW w:w="1560" w:type="dxa"/>
            <w:gridSpan w:val="3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ss</w:t>
            </w:r>
          </w:p>
        </w:tc>
        <w:tc>
          <w:tcPr>
            <w:tcW w:w="1649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s</w:t>
            </w:r>
          </w:p>
        </w:tc>
        <w:tc>
          <w:tcPr>
            <w:tcW w:w="902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c</w:t>
            </w: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noProof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518160" cy="350520"/>
                  <wp:effectExtent l="0" t="0" r="0" b="0"/>
                  <wp:docPr id="29" name="Picture 29" descr="http://upload.moldova.org/auto/Dacia/Dacia_Logan_Va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upload.moldova.org/auto/Dacia/Dacia_Logan_Va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v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ve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  <w:tr w:rsidR="008643E4" w:rsidRPr="00ED1914">
        <w:trPr>
          <w:trHeight w:val="850"/>
        </w:trPr>
        <w:tc>
          <w:tcPr>
            <w:tcW w:w="1442" w:type="dxa"/>
          </w:tcPr>
          <w:p w:rsidR="008643E4" w:rsidRPr="004D357D" w:rsidRDefault="00502674" w:rsidP="006E6F3D">
            <w:pPr>
              <w:rPr>
                <w:rFonts w:ascii="NTPreCursivefk" w:hAnsi="NTPreCursivefk" w:cs="NTPreCursivefk"/>
                <w:sz w:val="56"/>
                <w:szCs w:val="56"/>
              </w:rPr>
            </w:pPr>
            <w:r>
              <w:rPr>
                <w:rFonts w:ascii="NTPreCursivefk" w:hAnsi="NTPreCursivefk" w:cs="NTPreCursivefk"/>
                <w:noProof/>
                <w:sz w:val="56"/>
                <w:szCs w:val="56"/>
              </w:rPr>
              <w:drawing>
                <wp:inline distT="0" distB="0" distL="0" distR="0">
                  <wp:extent cx="373380" cy="381000"/>
                  <wp:effectExtent l="0" t="0" r="7620" b="0"/>
                  <wp:docPr id="30" name="Picture 30" descr="http://wealthynetizen.com/wp-content/uploads/2008/05/drew-on-spider-web-OhrC_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ealthynetizen.com/wp-content/uploads/2008/05/drew-on-spider-web-OhrC_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w</w:t>
            </w:r>
          </w:p>
        </w:tc>
        <w:tc>
          <w:tcPr>
            <w:tcW w:w="1813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  <w:r w:rsidRPr="004D357D">
              <w:rPr>
                <w:rFonts w:ascii="NTPreCursivefk" w:hAnsi="NTPreCursivefk" w:cs="NTPreCursivefk"/>
                <w:sz w:val="56"/>
                <w:szCs w:val="56"/>
              </w:rPr>
              <w:t>wh</w:t>
            </w:r>
          </w:p>
        </w:tc>
        <w:tc>
          <w:tcPr>
            <w:tcW w:w="1814" w:type="dxa"/>
            <w:gridSpan w:val="2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483" w:type="dxa"/>
            <w:vAlign w:val="center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1649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  <w:tc>
          <w:tcPr>
            <w:tcW w:w="911" w:type="dxa"/>
            <w:gridSpan w:val="2"/>
          </w:tcPr>
          <w:p w:rsidR="008643E4" w:rsidRPr="004D357D" w:rsidRDefault="008643E4" w:rsidP="004D357D">
            <w:pPr>
              <w:jc w:val="center"/>
              <w:rPr>
                <w:rFonts w:ascii="NTPreCursivefk" w:hAnsi="NTPreCursivefk" w:cs="NTPreCursivefk"/>
                <w:sz w:val="56"/>
                <w:szCs w:val="56"/>
              </w:rPr>
            </w:pPr>
          </w:p>
        </w:tc>
      </w:tr>
    </w:tbl>
    <w:p w:rsidR="008643E4" w:rsidRPr="00ED1914" w:rsidRDefault="008643E4" w:rsidP="006E6F3D">
      <w:pPr>
        <w:tabs>
          <w:tab w:val="left" w:pos="8422"/>
        </w:tabs>
        <w:rPr>
          <w:sz w:val="56"/>
          <w:szCs w:val="56"/>
        </w:rPr>
      </w:pPr>
      <w:r w:rsidRPr="00ED1914">
        <w:rPr>
          <w:sz w:val="56"/>
          <w:szCs w:val="56"/>
        </w:rPr>
        <w:tab/>
      </w:r>
    </w:p>
    <w:sectPr w:rsidR="008643E4" w:rsidRPr="00ED1914" w:rsidSect="006E6F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868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F166B"/>
    <w:rsid w:val="001131EF"/>
    <w:rsid w:val="00123266"/>
    <w:rsid w:val="00127546"/>
    <w:rsid w:val="00152763"/>
    <w:rsid w:val="00153E4B"/>
    <w:rsid w:val="001654AB"/>
    <w:rsid w:val="00170535"/>
    <w:rsid w:val="00170F19"/>
    <w:rsid w:val="001739F8"/>
    <w:rsid w:val="001A4754"/>
    <w:rsid w:val="001D74A7"/>
    <w:rsid w:val="001E235B"/>
    <w:rsid w:val="001E7853"/>
    <w:rsid w:val="00212857"/>
    <w:rsid w:val="00230A08"/>
    <w:rsid w:val="0025631C"/>
    <w:rsid w:val="0029648F"/>
    <w:rsid w:val="002A603A"/>
    <w:rsid w:val="002B1535"/>
    <w:rsid w:val="002B2319"/>
    <w:rsid w:val="002B3DDC"/>
    <w:rsid w:val="002B4589"/>
    <w:rsid w:val="002C4A81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73BD"/>
    <w:rsid w:val="003C4DF3"/>
    <w:rsid w:val="003E4BAB"/>
    <w:rsid w:val="00431FC3"/>
    <w:rsid w:val="00482841"/>
    <w:rsid w:val="00485708"/>
    <w:rsid w:val="00493311"/>
    <w:rsid w:val="00496DAD"/>
    <w:rsid w:val="004B4219"/>
    <w:rsid w:val="004C5984"/>
    <w:rsid w:val="004C7939"/>
    <w:rsid w:val="004D0C67"/>
    <w:rsid w:val="004D357D"/>
    <w:rsid w:val="004E428C"/>
    <w:rsid w:val="004E6078"/>
    <w:rsid w:val="004F735D"/>
    <w:rsid w:val="00501941"/>
    <w:rsid w:val="00502674"/>
    <w:rsid w:val="00502778"/>
    <w:rsid w:val="005038F4"/>
    <w:rsid w:val="0051591E"/>
    <w:rsid w:val="00525FF8"/>
    <w:rsid w:val="005333F5"/>
    <w:rsid w:val="005568BB"/>
    <w:rsid w:val="00565814"/>
    <w:rsid w:val="00597B2A"/>
    <w:rsid w:val="005A2E8C"/>
    <w:rsid w:val="005C4A2A"/>
    <w:rsid w:val="005E437E"/>
    <w:rsid w:val="005F078D"/>
    <w:rsid w:val="00603C4A"/>
    <w:rsid w:val="0063769A"/>
    <w:rsid w:val="006441A9"/>
    <w:rsid w:val="006454D9"/>
    <w:rsid w:val="00656DA2"/>
    <w:rsid w:val="0066703B"/>
    <w:rsid w:val="00671718"/>
    <w:rsid w:val="00672D48"/>
    <w:rsid w:val="00684436"/>
    <w:rsid w:val="00693FDF"/>
    <w:rsid w:val="006950B8"/>
    <w:rsid w:val="00696F28"/>
    <w:rsid w:val="006A5E94"/>
    <w:rsid w:val="006B248F"/>
    <w:rsid w:val="006D10DF"/>
    <w:rsid w:val="006E6F3D"/>
    <w:rsid w:val="00727CE2"/>
    <w:rsid w:val="007500D8"/>
    <w:rsid w:val="0076612B"/>
    <w:rsid w:val="0078235C"/>
    <w:rsid w:val="00787462"/>
    <w:rsid w:val="00794B94"/>
    <w:rsid w:val="007B401B"/>
    <w:rsid w:val="007B7868"/>
    <w:rsid w:val="007F0B37"/>
    <w:rsid w:val="007F22A4"/>
    <w:rsid w:val="007F4352"/>
    <w:rsid w:val="007F7927"/>
    <w:rsid w:val="008046C3"/>
    <w:rsid w:val="00830CD5"/>
    <w:rsid w:val="0083276E"/>
    <w:rsid w:val="00852F8C"/>
    <w:rsid w:val="008643E4"/>
    <w:rsid w:val="00884101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D3E17"/>
    <w:rsid w:val="00A056AE"/>
    <w:rsid w:val="00A34960"/>
    <w:rsid w:val="00A41F02"/>
    <w:rsid w:val="00AA2C63"/>
    <w:rsid w:val="00AA486C"/>
    <w:rsid w:val="00AB381B"/>
    <w:rsid w:val="00AB4FDD"/>
    <w:rsid w:val="00AC55E5"/>
    <w:rsid w:val="00AC7A58"/>
    <w:rsid w:val="00B107AA"/>
    <w:rsid w:val="00B26610"/>
    <w:rsid w:val="00B77168"/>
    <w:rsid w:val="00B864AA"/>
    <w:rsid w:val="00B87E6F"/>
    <w:rsid w:val="00B9745C"/>
    <w:rsid w:val="00BC6650"/>
    <w:rsid w:val="00BE1123"/>
    <w:rsid w:val="00BF6354"/>
    <w:rsid w:val="00C24C95"/>
    <w:rsid w:val="00C45E0F"/>
    <w:rsid w:val="00C53E96"/>
    <w:rsid w:val="00C70BC5"/>
    <w:rsid w:val="00C75CDE"/>
    <w:rsid w:val="00C92E6E"/>
    <w:rsid w:val="00CD1399"/>
    <w:rsid w:val="00CE5C8B"/>
    <w:rsid w:val="00D059E8"/>
    <w:rsid w:val="00D108FF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83B91"/>
    <w:rsid w:val="00D92DB5"/>
    <w:rsid w:val="00DA700A"/>
    <w:rsid w:val="00DA7408"/>
    <w:rsid w:val="00DA7EB0"/>
    <w:rsid w:val="00DB4844"/>
    <w:rsid w:val="00DC7781"/>
    <w:rsid w:val="00DD3CFC"/>
    <w:rsid w:val="00DF6E49"/>
    <w:rsid w:val="00E37F44"/>
    <w:rsid w:val="00E42356"/>
    <w:rsid w:val="00E450CE"/>
    <w:rsid w:val="00E5067A"/>
    <w:rsid w:val="00E762F7"/>
    <w:rsid w:val="00E9282E"/>
    <w:rsid w:val="00E9767D"/>
    <w:rsid w:val="00EB338A"/>
    <w:rsid w:val="00EB36B8"/>
    <w:rsid w:val="00EC14BE"/>
    <w:rsid w:val="00EC1AF1"/>
    <w:rsid w:val="00ED059A"/>
    <w:rsid w:val="00ED1914"/>
    <w:rsid w:val="00ED34ED"/>
    <w:rsid w:val="00EF4D7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081963-8FE6-444A-8946-2DEF1531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75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71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07"/>
    <w:rPr>
      <w:sz w:val="0"/>
      <w:szCs w:val="0"/>
    </w:rPr>
  </w:style>
  <w:style w:type="character" w:styleId="Hyperlink">
    <w:name w:val="Hyperlink"/>
    <w:basedOn w:val="DefaultParagraphFont"/>
    <w:uiPriority w:val="99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437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9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8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8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3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53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432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43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3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3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feet&amp;source=images&amp;cd=&amp;cad=rja&amp;docid=LXxT5i3keJsq5M&amp;tbnid=cyp6OgYLE2kdcM:&amp;ved=0CAUQjRw&amp;url=http://www.sclerodermasociety.co.uk/Thefeetandscleroderma1.php&amp;ei=4di8UcKaNsqb0QWMm4GgCg&amp;psig=AFQjCNFuMH9G-sdB-trRxnsQkMODZqRWEg&amp;ust=13714171379661" TargetMode="External"/><Relationship Id="rId11" Type="http://schemas.openxmlformats.org/officeDocument/2006/relationships/hyperlink" Target="http://www.google.co.uk/url?sa=i&amp;rct=j&amp;q=crescent+moon&amp;source=images&amp;cd=&amp;cad=rja&amp;docid=aI3SEsSFdbYKrM&amp;tbnid=JPK1tFTstRFxuM:&amp;ved=0CAUQjRw&amp;url=http://www.flickr.com/photos/bunnyfrogs/galleries/72157624641457961/&amp;ei=gNq8UYb0AenK0QX_nIG4Cg&amp;psig=AFQjCNENGPQdG0WHD4CLDSUA3OG8Eu0w7g&amp;ust=13714174962959" TargetMode="External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boat&amp;source=images&amp;cd=&amp;cad=rja&amp;docid=ED1l9eZjWXHL2M&amp;tbnid=RUJgYHSOxUOV7M:&amp;ved=0CAUQjRw&amp;url=http://www.neilthompsonboats.co.uk/index.php5?page=52&amp;ei=sNm8UcTZOoPC0QWAvYDYCw&amp;psig=AFQjCNGxNOkwffb0hDEClgjmvpWQtU0faQ&amp;ust=13714172707840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Ergo Computing UK LTD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Emma</dc:creator>
  <cp:keywords/>
  <dc:description/>
  <cp:lastModifiedBy>User</cp:lastModifiedBy>
  <cp:revision>2</cp:revision>
  <cp:lastPrinted>2009-11-30T19:21:00Z</cp:lastPrinted>
  <dcterms:created xsi:type="dcterms:W3CDTF">2021-01-13T16:44:00Z</dcterms:created>
  <dcterms:modified xsi:type="dcterms:W3CDTF">2021-01-13T16:44:00Z</dcterms:modified>
</cp:coreProperties>
</file>