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61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113AC" w14:paraId="5C1413ED" w14:textId="77777777" w:rsidTr="00EA48BD">
        <w:trPr>
          <w:trHeight w:val="274"/>
        </w:trPr>
        <w:tc>
          <w:tcPr>
            <w:tcW w:w="4724" w:type="dxa"/>
            <w:shd w:val="clear" w:color="auto" w:fill="EAF1DD" w:themeFill="accent3" w:themeFillTint="33"/>
          </w:tcPr>
          <w:p w14:paraId="724DACAA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4"/>
              </w:rPr>
            </w:pPr>
            <w:bookmarkStart w:id="0" w:name="_GoBack"/>
            <w:bookmarkEnd w:id="0"/>
            <w:r w:rsidRPr="00F113AC">
              <w:rPr>
                <w:rFonts w:ascii="NTPreCursivefk" w:hAnsi="NTPreCursivefk"/>
                <w:sz w:val="44"/>
              </w:rPr>
              <w:t>Phase 2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14:paraId="28E5FC1B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4"/>
              </w:rPr>
            </w:pPr>
            <w:r w:rsidRPr="00F113AC">
              <w:rPr>
                <w:rFonts w:ascii="NTPreCursivefk" w:hAnsi="NTPreCursivefk"/>
                <w:sz w:val="44"/>
              </w:rPr>
              <w:t>Phase 3</w:t>
            </w:r>
          </w:p>
        </w:tc>
        <w:tc>
          <w:tcPr>
            <w:tcW w:w="4725" w:type="dxa"/>
            <w:shd w:val="clear" w:color="auto" w:fill="EAF1DD" w:themeFill="accent3" w:themeFillTint="33"/>
          </w:tcPr>
          <w:p w14:paraId="1A056583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4"/>
              </w:rPr>
            </w:pPr>
            <w:r w:rsidRPr="00F113AC">
              <w:rPr>
                <w:rFonts w:ascii="NTPreCursivefk" w:hAnsi="NTPreCursivefk"/>
                <w:sz w:val="44"/>
              </w:rPr>
              <w:t xml:space="preserve">Phase </w:t>
            </w:r>
            <w:r w:rsidR="00463490">
              <w:rPr>
                <w:rFonts w:ascii="NTPreCursivefk" w:hAnsi="NTPreCursivefk"/>
                <w:sz w:val="44"/>
              </w:rPr>
              <w:t>4</w:t>
            </w:r>
          </w:p>
        </w:tc>
      </w:tr>
      <w:tr w:rsidR="00F113AC" w14:paraId="335FFA15" w14:textId="77777777" w:rsidTr="00F113AC">
        <w:tc>
          <w:tcPr>
            <w:tcW w:w="4724" w:type="dxa"/>
            <w:shd w:val="clear" w:color="auto" w:fill="B8CCE4" w:themeFill="accent1" w:themeFillTint="66"/>
          </w:tcPr>
          <w:p w14:paraId="094D53ED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I</w:t>
            </w:r>
          </w:p>
          <w:p w14:paraId="769962FE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no</w:t>
            </w:r>
          </w:p>
          <w:p w14:paraId="75779771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go</w:t>
            </w:r>
          </w:p>
          <w:p w14:paraId="07F9BCEB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to</w:t>
            </w:r>
          </w:p>
          <w:p w14:paraId="12D14862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the</w:t>
            </w:r>
          </w:p>
          <w:p w14:paraId="01D2963F" w14:textId="77777777" w:rsidR="00F113AC" w:rsidRDefault="00F113AC" w:rsidP="00F113AC">
            <w:pPr>
              <w:jc w:val="center"/>
            </w:pPr>
            <w:r w:rsidRPr="00F113AC">
              <w:rPr>
                <w:rFonts w:ascii="NTPreCursivefk" w:hAnsi="NTPreCursivefk"/>
                <w:sz w:val="40"/>
              </w:rPr>
              <w:t>into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06DA9CAC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he</w:t>
            </w:r>
          </w:p>
          <w:p w14:paraId="0BB9254B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she </w:t>
            </w:r>
          </w:p>
          <w:p w14:paraId="58D85832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we </w:t>
            </w:r>
          </w:p>
          <w:p w14:paraId="7EBC5C51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be </w:t>
            </w:r>
          </w:p>
          <w:p w14:paraId="1B2E86CA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me </w:t>
            </w:r>
          </w:p>
          <w:p w14:paraId="62F5B47E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>you</w:t>
            </w:r>
          </w:p>
          <w:p w14:paraId="071A400F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are </w:t>
            </w:r>
          </w:p>
          <w:p w14:paraId="151843B6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her </w:t>
            </w:r>
          </w:p>
          <w:p w14:paraId="5EEA62CD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was </w:t>
            </w:r>
          </w:p>
          <w:p w14:paraId="60DD2976" w14:textId="77777777" w:rsidR="00F113AC" w:rsidRPr="00F113AC" w:rsidRDefault="00F113AC" w:rsidP="00F113AC">
            <w:pPr>
              <w:shd w:val="clear" w:color="auto" w:fill="CCC0D9" w:themeFill="accent4" w:themeFillTint="66"/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all </w:t>
            </w:r>
          </w:p>
          <w:p w14:paraId="1F8C8FA7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 w:rsidRPr="00F113AC">
              <w:rPr>
                <w:rFonts w:ascii="NTPreCursivefk" w:hAnsi="NTPreCursivefk"/>
                <w:sz w:val="40"/>
              </w:rPr>
              <w:t xml:space="preserve">they </w:t>
            </w:r>
          </w:p>
          <w:p w14:paraId="6E6FAFD7" w14:textId="77777777" w:rsidR="00F113AC" w:rsidRDefault="00F113AC" w:rsidP="00F113AC">
            <w:pPr>
              <w:jc w:val="center"/>
            </w:pPr>
            <w:r w:rsidRPr="00F113AC">
              <w:rPr>
                <w:rFonts w:ascii="NTPreCursivefk" w:hAnsi="NTPreCursivefk"/>
                <w:sz w:val="40"/>
              </w:rPr>
              <w:t>my</w:t>
            </w:r>
            <w:r w:rsidRPr="00F113AC">
              <w:rPr>
                <w:sz w:val="40"/>
              </w:rPr>
              <w:t xml:space="preserve"> </w:t>
            </w:r>
          </w:p>
        </w:tc>
        <w:tc>
          <w:tcPr>
            <w:tcW w:w="4725" w:type="dxa"/>
            <w:shd w:val="clear" w:color="auto" w:fill="FBD4B4" w:themeFill="accent6" w:themeFillTint="66"/>
          </w:tcPr>
          <w:p w14:paraId="4DB9B175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said </w:t>
            </w:r>
          </w:p>
          <w:p w14:paraId="67D9B423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have </w:t>
            </w:r>
          </w:p>
          <w:p w14:paraId="25E08C5E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>like</w:t>
            </w:r>
          </w:p>
          <w:p w14:paraId="3275A9F9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so </w:t>
            </w:r>
          </w:p>
          <w:p w14:paraId="6706754B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do </w:t>
            </w:r>
          </w:p>
          <w:p w14:paraId="7DCEB527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some </w:t>
            </w:r>
          </w:p>
          <w:p w14:paraId="7E08A37B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come </w:t>
            </w:r>
          </w:p>
          <w:p w14:paraId="2C74B1E0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little </w:t>
            </w:r>
          </w:p>
          <w:p w14:paraId="13D8B286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one </w:t>
            </w:r>
          </w:p>
          <w:p w14:paraId="7B45717A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>were</w:t>
            </w:r>
          </w:p>
          <w:p w14:paraId="321F5B5E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there </w:t>
            </w:r>
          </w:p>
          <w:p w14:paraId="7800FD56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what </w:t>
            </w:r>
          </w:p>
          <w:p w14:paraId="5903C46D" w14:textId="77777777" w:rsid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when </w:t>
            </w:r>
          </w:p>
          <w:p w14:paraId="009370EE" w14:textId="77777777" w:rsidR="00F113AC" w:rsidRPr="00F113AC" w:rsidRDefault="00F113AC" w:rsidP="00F113AC">
            <w:pPr>
              <w:jc w:val="center"/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out </w:t>
            </w:r>
          </w:p>
        </w:tc>
      </w:tr>
    </w:tbl>
    <w:p w14:paraId="0409C423" w14:textId="77777777" w:rsidR="00C96DB0" w:rsidRDefault="00C96DB0"/>
    <w:sectPr w:rsidR="00C96DB0" w:rsidSect="00F113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2EF5" w14:textId="77777777" w:rsidR="002E13D7" w:rsidRDefault="002E13D7" w:rsidP="00F113AC">
      <w:pPr>
        <w:spacing w:after="0" w:line="240" w:lineRule="auto"/>
      </w:pPr>
      <w:r>
        <w:separator/>
      </w:r>
    </w:p>
  </w:endnote>
  <w:endnote w:type="continuationSeparator" w:id="0">
    <w:p w14:paraId="04C7378D" w14:textId="77777777" w:rsidR="002E13D7" w:rsidRDefault="002E13D7" w:rsidP="00F1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1CCA" w14:textId="77777777" w:rsidR="002E13D7" w:rsidRDefault="002E13D7" w:rsidP="00F113AC">
      <w:pPr>
        <w:spacing w:after="0" w:line="240" w:lineRule="auto"/>
      </w:pPr>
      <w:r>
        <w:separator/>
      </w:r>
    </w:p>
  </w:footnote>
  <w:footnote w:type="continuationSeparator" w:id="0">
    <w:p w14:paraId="3014CD12" w14:textId="77777777" w:rsidR="002E13D7" w:rsidRDefault="002E13D7" w:rsidP="00F1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5829" w14:textId="77777777" w:rsidR="00F113AC" w:rsidRPr="00F113AC" w:rsidRDefault="00F113AC" w:rsidP="00F113AC">
    <w:pPr>
      <w:pStyle w:val="Header"/>
      <w:jc w:val="center"/>
      <w:rPr>
        <w:rFonts w:ascii="NTPreCursivefk" w:hAnsi="NTPreCursivefk"/>
        <w:sz w:val="52"/>
      </w:rPr>
    </w:pPr>
    <w:r w:rsidRPr="00F113AC">
      <w:rPr>
        <w:rFonts w:ascii="NTPreCursivefk" w:hAnsi="NTPreCursivefk"/>
        <w:sz w:val="52"/>
      </w:rPr>
      <w:t>Jumping Key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AC"/>
    <w:rsid w:val="00005930"/>
    <w:rsid w:val="000315C2"/>
    <w:rsid w:val="002E13D7"/>
    <w:rsid w:val="00463490"/>
    <w:rsid w:val="00C96DB0"/>
    <w:rsid w:val="00EA48BD"/>
    <w:rsid w:val="00F113AC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1834"/>
  <w15:docId w15:val="{1327848E-7669-40B5-81C3-D4B180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1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3AC"/>
  </w:style>
  <w:style w:type="paragraph" w:styleId="Footer">
    <w:name w:val="footer"/>
    <w:basedOn w:val="Normal"/>
    <w:link w:val="FooterChar"/>
    <w:uiPriority w:val="99"/>
    <w:semiHidden/>
    <w:unhideWhenUsed/>
    <w:rsid w:val="00F11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Maud Quinton</cp:lastModifiedBy>
  <cp:revision>2</cp:revision>
  <dcterms:created xsi:type="dcterms:W3CDTF">2020-03-25T11:21:00Z</dcterms:created>
  <dcterms:modified xsi:type="dcterms:W3CDTF">2020-03-25T11:21:00Z</dcterms:modified>
</cp:coreProperties>
</file>